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84" w:rsidRDefault="00140184" w:rsidP="00140184">
      <w:pPr>
        <w:autoSpaceDE w:val="0"/>
        <w:autoSpaceDN w:val="0"/>
        <w:adjustRightInd w:val="0"/>
        <w:ind w:left="0"/>
        <w:rPr>
          <w:rFonts w:ascii="ZurichBT-LightCondensed" w:hAnsi="ZurichBT-LightCondensed" w:cs="ZurichBT-LightCondensed"/>
          <w:b/>
          <w:color w:val="231F20"/>
          <w:sz w:val="24"/>
          <w:szCs w:val="24"/>
        </w:rPr>
      </w:pPr>
      <w:r>
        <w:rPr>
          <w:rFonts w:ascii="ZurichBT-LightCondensed" w:hAnsi="ZurichBT-LightCondensed" w:cs="ZurichBT-LightCondensed"/>
          <w:b/>
          <w:color w:val="231F20"/>
          <w:sz w:val="24"/>
          <w:szCs w:val="24"/>
        </w:rPr>
        <w:t>Introduction</w:t>
      </w:r>
    </w:p>
    <w:p w:rsidR="00140184" w:rsidRDefault="00140184" w:rsidP="00140184">
      <w:pPr>
        <w:autoSpaceDE w:val="0"/>
        <w:autoSpaceDN w:val="0"/>
        <w:adjustRightInd w:val="0"/>
        <w:ind w:left="0"/>
        <w:rPr>
          <w:rFonts w:ascii="ZurichBT-LightCondensed" w:hAnsi="ZurichBT-LightCondensed" w:cs="ZurichBT-LightCondensed"/>
          <w:b/>
          <w:color w:val="231F20"/>
          <w:sz w:val="24"/>
          <w:szCs w:val="24"/>
        </w:rPr>
      </w:pPr>
    </w:p>
    <w:p w:rsidR="009733F2" w:rsidRPr="00A47D0E" w:rsidRDefault="009733F2" w:rsidP="009733F2">
      <w:pPr>
        <w:pStyle w:val="Default"/>
        <w:spacing w:line="276" w:lineRule="auto"/>
        <w:rPr>
          <w:b/>
          <w:sz w:val="22"/>
          <w:szCs w:val="22"/>
        </w:rPr>
      </w:pPr>
      <w:r w:rsidRPr="00A47D0E">
        <w:rPr>
          <w:b/>
          <w:color w:val="221F1F"/>
          <w:sz w:val="22"/>
          <w:szCs w:val="22"/>
        </w:rPr>
        <w:t>Commonwealth Computer Navigator's Certificate (CCNC)</w:t>
      </w:r>
    </w:p>
    <w:p w:rsidR="009733F2" w:rsidRDefault="009733F2" w:rsidP="009733F2">
      <w:pPr>
        <w:pStyle w:val="Default"/>
        <w:spacing w:line="276" w:lineRule="auto"/>
        <w:rPr>
          <w:color w:val="221F1F"/>
          <w:sz w:val="22"/>
          <w:szCs w:val="22"/>
        </w:rPr>
      </w:pPr>
    </w:p>
    <w:p w:rsidR="009733F2" w:rsidRDefault="009733F2" w:rsidP="009733F2">
      <w:pPr>
        <w:pStyle w:val="Default"/>
        <w:spacing w:line="276" w:lineRule="auto"/>
        <w:rPr>
          <w:color w:val="221F1F"/>
          <w:sz w:val="22"/>
          <w:szCs w:val="22"/>
        </w:rPr>
      </w:pPr>
      <w:r>
        <w:rPr>
          <w:color w:val="221F1F"/>
          <w:sz w:val="22"/>
          <w:szCs w:val="22"/>
        </w:rPr>
        <w:t>The Commonwealth of Learning (COL) conceptualised</w:t>
      </w:r>
      <w:r w:rsidRPr="00A47D0E">
        <w:rPr>
          <w:color w:val="221F1F"/>
          <w:sz w:val="22"/>
          <w:szCs w:val="22"/>
        </w:rPr>
        <w:t xml:space="preserve"> the Computer Navigator's Certificate (CCNC)</w:t>
      </w:r>
      <w:r>
        <w:rPr>
          <w:color w:val="221F1F"/>
          <w:sz w:val="22"/>
          <w:szCs w:val="22"/>
        </w:rPr>
        <w:t xml:space="preserve"> in 2006</w:t>
      </w:r>
      <w:r w:rsidRPr="00A47D0E">
        <w:rPr>
          <w:color w:val="221F1F"/>
          <w:sz w:val="22"/>
          <w:szCs w:val="22"/>
        </w:rPr>
        <w:t xml:space="preserve">.  </w:t>
      </w:r>
      <w:r>
        <w:rPr>
          <w:color w:val="221F1F"/>
          <w:sz w:val="22"/>
          <w:szCs w:val="22"/>
        </w:rPr>
        <w:t>The CCNC</w:t>
      </w:r>
      <w:r w:rsidRPr="00A47D0E">
        <w:rPr>
          <w:color w:val="221F1F"/>
          <w:sz w:val="22"/>
          <w:szCs w:val="22"/>
        </w:rPr>
        <w:t xml:space="preserve"> widens the available learning and training options</w:t>
      </w:r>
      <w:r>
        <w:rPr>
          <w:color w:val="221F1F"/>
          <w:sz w:val="22"/>
          <w:szCs w:val="22"/>
        </w:rPr>
        <w:t xml:space="preserve"> in the Commonwealth </w:t>
      </w:r>
      <w:r w:rsidRPr="00A47D0E">
        <w:rPr>
          <w:color w:val="221F1F"/>
          <w:sz w:val="22"/>
          <w:szCs w:val="22"/>
        </w:rPr>
        <w:t xml:space="preserve">by acquiring ICT skills using free </w:t>
      </w:r>
      <w:r>
        <w:rPr>
          <w:color w:val="221F1F"/>
          <w:sz w:val="22"/>
          <w:szCs w:val="22"/>
        </w:rPr>
        <w:t xml:space="preserve">open-source </w:t>
      </w:r>
      <w:r w:rsidRPr="00A47D0E">
        <w:rPr>
          <w:color w:val="221F1F"/>
          <w:sz w:val="22"/>
          <w:szCs w:val="22"/>
        </w:rPr>
        <w:t xml:space="preserve">software. </w:t>
      </w:r>
      <w:r>
        <w:rPr>
          <w:color w:val="221F1F"/>
          <w:sz w:val="22"/>
          <w:szCs w:val="22"/>
        </w:rPr>
        <w:t xml:space="preserve">It furthermore </w:t>
      </w:r>
      <w:r w:rsidRPr="00A47D0E">
        <w:rPr>
          <w:color w:val="221F1F"/>
          <w:sz w:val="22"/>
          <w:szCs w:val="22"/>
        </w:rPr>
        <w:t>eliminates concerns about the illegal use of proprietary software.</w:t>
      </w:r>
    </w:p>
    <w:p w:rsidR="009733F2" w:rsidRDefault="009733F2" w:rsidP="009733F2">
      <w:pPr>
        <w:pStyle w:val="Default"/>
        <w:spacing w:line="276" w:lineRule="auto"/>
        <w:rPr>
          <w:color w:val="221F1F"/>
          <w:sz w:val="22"/>
          <w:szCs w:val="22"/>
        </w:rPr>
      </w:pPr>
    </w:p>
    <w:p w:rsidR="009733F2" w:rsidRPr="00A47D0E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F06A6B">
        <w:rPr>
          <w:rFonts w:ascii="Arial" w:hAnsi="Arial" w:cs="Arial"/>
          <w:color w:val="000000"/>
          <w:sz w:val="22"/>
          <w:szCs w:val="22"/>
        </w:rPr>
        <w:t xml:space="preserve">The CCNC materials </w:t>
      </w:r>
      <w:r w:rsidR="00633FF3">
        <w:rPr>
          <w:rFonts w:ascii="Arial" w:hAnsi="Arial" w:cs="Arial"/>
          <w:color w:val="000000"/>
          <w:sz w:val="22"/>
          <w:szCs w:val="22"/>
        </w:rPr>
        <w:t xml:space="preserve">(Version 1.0) </w:t>
      </w:r>
      <w:r>
        <w:rPr>
          <w:rFonts w:ascii="Arial" w:hAnsi="Arial" w:cs="Arial"/>
          <w:color w:val="000000"/>
          <w:sz w:val="22"/>
          <w:szCs w:val="22"/>
        </w:rPr>
        <w:t>have been developed to</w:t>
      </w:r>
      <w:r w:rsidRPr="00F06A6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International Computer Driver’s Licence (ICDL)</w:t>
      </w:r>
      <w:r w:rsidRPr="00F06A6B">
        <w:rPr>
          <w:rFonts w:ascii="Arial" w:hAnsi="Arial" w:cs="Arial"/>
          <w:color w:val="000000"/>
          <w:sz w:val="22"/>
          <w:szCs w:val="22"/>
        </w:rPr>
        <w:t xml:space="preserve"> International Standard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5B14C9">
        <w:rPr>
          <w:rFonts w:ascii="Arial" w:hAnsi="Arial" w:cs="Arial"/>
          <w:color w:val="000000"/>
          <w:sz w:val="22"/>
          <w:szCs w:val="22"/>
        </w:rPr>
        <w:t>www.icdl.org.za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Pr="00F06A6B">
        <w:rPr>
          <w:rFonts w:ascii="Arial" w:hAnsi="Arial" w:cs="Arial"/>
          <w:color w:val="000000"/>
          <w:sz w:val="22"/>
          <w:szCs w:val="22"/>
        </w:rPr>
        <w:t>using Open Office on either a Linux or Windows Platform.</w:t>
      </w:r>
      <w:r>
        <w:rPr>
          <w:rFonts w:ascii="Arial" w:hAnsi="Arial" w:cs="Arial"/>
          <w:color w:val="000000"/>
          <w:sz w:val="22"/>
          <w:szCs w:val="22"/>
        </w:rPr>
        <w:t xml:space="preserve"> The materials are based </w:t>
      </w:r>
      <w:r w:rsidRPr="003B2A3C">
        <w:rPr>
          <w:rFonts w:ascii="Arial" w:hAnsi="Arial" w:cs="Arial"/>
          <w:color w:val="000000"/>
          <w:sz w:val="22"/>
          <w:szCs w:val="22"/>
        </w:rPr>
        <w:t>on the ECDL</w:t>
      </w:r>
      <w:r>
        <w:rPr>
          <w:rFonts w:ascii="Arial" w:hAnsi="Arial" w:cs="Arial"/>
          <w:color w:val="000000"/>
          <w:sz w:val="22"/>
          <w:szCs w:val="22"/>
        </w:rPr>
        <w:t>/ICDL</w:t>
      </w:r>
      <w:r w:rsidRPr="003B2A3C">
        <w:rPr>
          <w:rFonts w:ascii="Arial" w:hAnsi="Arial" w:cs="Arial"/>
          <w:color w:val="000000"/>
          <w:sz w:val="22"/>
          <w:szCs w:val="22"/>
        </w:rPr>
        <w:t xml:space="preserve"> Syllabus Version 5.0</w:t>
      </w:r>
      <w:r>
        <w:rPr>
          <w:color w:val="221F1F"/>
          <w:sz w:val="22"/>
          <w:szCs w:val="22"/>
        </w:rPr>
        <w:t xml:space="preserve"> (</w:t>
      </w:r>
      <w:r w:rsidRPr="005B14C9">
        <w:rPr>
          <w:rFonts w:ascii="Arial" w:hAnsi="Arial" w:cs="Arial"/>
          <w:color w:val="000000"/>
          <w:sz w:val="22"/>
          <w:szCs w:val="22"/>
        </w:rPr>
        <w:t>www.ecdl.com</w:t>
      </w:r>
      <w:r>
        <w:rPr>
          <w:color w:val="0000FF"/>
        </w:rPr>
        <w:t>)</w:t>
      </w:r>
      <w:r>
        <w:rPr>
          <w:color w:val="221F1F"/>
          <w:sz w:val="22"/>
          <w:szCs w:val="22"/>
        </w:rPr>
        <w:t>.</w:t>
      </w:r>
    </w:p>
    <w:p w:rsidR="009733F2" w:rsidRDefault="009733F2" w:rsidP="009733F2">
      <w:pPr>
        <w:pStyle w:val="Default"/>
        <w:spacing w:line="276" w:lineRule="auto"/>
        <w:rPr>
          <w:sz w:val="22"/>
          <w:szCs w:val="22"/>
        </w:rPr>
      </w:pPr>
      <w:r w:rsidRPr="00A47D0E">
        <w:rPr>
          <w:color w:val="221F1F"/>
          <w:sz w:val="22"/>
          <w:szCs w:val="22"/>
        </w:rPr>
        <w:t xml:space="preserve"> </w:t>
      </w:r>
    </w:p>
    <w:p w:rsidR="009733F2" w:rsidRPr="00A47D0E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A47D0E">
        <w:rPr>
          <w:rFonts w:ascii="Arial" w:hAnsi="Arial" w:cs="Arial"/>
          <w:color w:val="000000"/>
          <w:sz w:val="22"/>
          <w:szCs w:val="22"/>
        </w:rPr>
        <w:t>he following 7 modules</w:t>
      </w:r>
      <w:r>
        <w:rPr>
          <w:rFonts w:ascii="Arial" w:hAnsi="Arial" w:cs="Arial"/>
          <w:color w:val="000000"/>
          <w:sz w:val="22"/>
          <w:szCs w:val="22"/>
        </w:rPr>
        <w:t xml:space="preserve"> have been developed</w:t>
      </w:r>
      <w:r w:rsidRPr="00A47D0E">
        <w:rPr>
          <w:rFonts w:ascii="Arial" w:hAnsi="Arial" w:cs="Arial"/>
          <w:color w:val="000000"/>
          <w:sz w:val="22"/>
          <w:szCs w:val="22"/>
        </w:rPr>
        <w:t>:</w:t>
      </w:r>
    </w:p>
    <w:p w:rsidR="009733F2" w:rsidRPr="00A47D0E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A47D0E">
        <w:rPr>
          <w:rFonts w:ascii="Arial" w:hAnsi="Arial" w:cs="Arial"/>
          <w:color w:val="000000"/>
          <w:sz w:val="22"/>
          <w:szCs w:val="22"/>
        </w:rPr>
        <w:t xml:space="preserve">Module 1 - Basic Concepts of </w:t>
      </w:r>
      <w:r>
        <w:rPr>
          <w:rFonts w:ascii="Arial" w:hAnsi="Arial" w:cs="Arial"/>
          <w:color w:val="000000"/>
          <w:sz w:val="22"/>
          <w:szCs w:val="22"/>
        </w:rPr>
        <w:t>Information and Communication Technologies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2 - Using a Computer and Managing Files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3 - Word Processing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4 - Spreadsheets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5 - Database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6 - Presentation</w:t>
      </w:r>
      <w:r w:rsidRPr="00A47D0E">
        <w:rPr>
          <w:rFonts w:ascii="Arial" w:hAnsi="Arial" w:cs="Arial"/>
          <w:color w:val="000000"/>
          <w:sz w:val="22"/>
          <w:szCs w:val="22"/>
        </w:rPr>
        <w:br/>
        <w:t>Module 7 - Information and Communication</w:t>
      </w:r>
    </w:p>
    <w:p w:rsidR="009733F2" w:rsidRPr="00A47D0E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A47D0E">
        <w:rPr>
          <w:rFonts w:ascii="Arial" w:hAnsi="Arial" w:cs="Arial"/>
          <w:color w:val="221F1F"/>
          <w:sz w:val="22"/>
          <w:szCs w:val="22"/>
        </w:rPr>
        <w:t xml:space="preserve">The CCNC is open to participation from local tertiary education institutions, non-governmental organisations (NGOs) and private-sector training institutions throughout the Commonwealth interested in adopting the certificate in their own offerings. </w:t>
      </w:r>
      <w:r>
        <w:rPr>
          <w:rFonts w:ascii="Arial" w:hAnsi="Arial" w:cs="Arial"/>
          <w:color w:val="000000"/>
          <w:sz w:val="22"/>
          <w:szCs w:val="22"/>
        </w:rPr>
        <w:t xml:space="preserve">Alternatively, they can use </w:t>
      </w:r>
      <w:r w:rsidRPr="00A47D0E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>materials</w:t>
      </w:r>
      <w:r w:rsidRPr="00A47D0E">
        <w:rPr>
          <w:rFonts w:ascii="Arial" w:hAnsi="Arial" w:cs="Arial"/>
          <w:color w:val="000000"/>
          <w:sz w:val="22"/>
          <w:szCs w:val="22"/>
        </w:rPr>
        <w:t xml:space="preserve"> to obtain the full Core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OpenICDL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D0E">
        <w:rPr>
          <w:rFonts w:ascii="Arial" w:hAnsi="Arial" w:cs="Arial"/>
          <w:color w:val="000000"/>
          <w:sz w:val="22"/>
          <w:szCs w:val="22"/>
        </w:rPr>
        <w:t>Qualification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Pr="00F06A6B">
        <w:rPr>
          <w:rFonts w:ascii="Arial" w:hAnsi="Arial" w:cs="Arial"/>
          <w:color w:val="000000"/>
          <w:sz w:val="22"/>
          <w:szCs w:val="22"/>
        </w:rPr>
        <w:t>http://www.icdl.org.za/products_detail.php?id=6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A47D0E">
        <w:rPr>
          <w:rFonts w:ascii="Arial" w:hAnsi="Arial" w:cs="Arial"/>
          <w:color w:val="000000"/>
          <w:sz w:val="22"/>
          <w:szCs w:val="22"/>
        </w:rPr>
        <w:t xml:space="preserve">.  </w:t>
      </w: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633FF3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COL envisages taking these modules further and developing e-learning formats using a share-alike rights licence. </w:t>
      </w:r>
    </w:p>
    <w:p w:rsidR="00633FF3" w:rsidRDefault="00633FF3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00633FF3" w:rsidRPr="00F06A6B">
        <w:rPr>
          <w:rFonts w:ascii="Arial" w:hAnsi="Arial" w:cs="Arial"/>
          <w:color w:val="000000"/>
          <w:sz w:val="22"/>
          <w:szCs w:val="22"/>
        </w:rPr>
        <w:t xml:space="preserve">CCNC materials </w:t>
      </w:r>
      <w:r w:rsidR="00633FF3">
        <w:rPr>
          <w:rFonts w:ascii="Arial" w:hAnsi="Arial" w:cs="Arial"/>
          <w:color w:val="000000"/>
          <w:sz w:val="22"/>
          <w:szCs w:val="22"/>
        </w:rPr>
        <w:t xml:space="preserve">(Version 1.0) </w:t>
      </w:r>
      <w:r>
        <w:rPr>
          <w:rFonts w:ascii="Arial" w:hAnsi="Arial" w:cs="Arial"/>
          <w:color w:val="000000"/>
          <w:sz w:val="22"/>
          <w:szCs w:val="22"/>
        </w:rPr>
        <w:t>are available on the COL website.</w:t>
      </w: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Verdana" w:hAnsi="Verdana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22"/>
          <w:szCs w:val="22"/>
        </w:rPr>
        <w:t>The materials w</w:t>
      </w:r>
      <w:r w:rsidR="00633FF3">
        <w:rPr>
          <w:rFonts w:ascii="Arial" w:hAnsi="Arial" w:cs="Arial"/>
          <w:color w:val="000000"/>
          <w:sz w:val="22"/>
          <w:szCs w:val="22"/>
        </w:rPr>
        <w:t>ere developed</w:t>
      </w:r>
      <w:r>
        <w:rPr>
          <w:rFonts w:ascii="Arial" w:hAnsi="Arial" w:cs="Arial"/>
          <w:color w:val="000000"/>
          <w:sz w:val="22"/>
          <w:szCs w:val="22"/>
        </w:rPr>
        <w:t xml:space="preserve"> with </w:t>
      </w:r>
      <w:r w:rsidR="00633FF3">
        <w:rPr>
          <w:rFonts w:ascii="Arial" w:hAnsi="Arial" w:cs="Arial"/>
          <w:color w:val="000000"/>
          <w:sz w:val="22"/>
          <w:szCs w:val="22"/>
        </w:rPr>
        <w:t xml:space="preserve">financial </w:t>
      </w:r>
      <w:r>
        <w:rPr>
          <w:rFonts w:ascii="Arial" w:hAnsi="Arial" w:cs="Arial"/>
          <w:color w:val="000000"/>
          <w:sz w:val="22"/>
          <w:szCs w:val="22"/>
        </w:rPr>
        <w:t>support from the Commonwealth Secretariat.</w:t>
      </w:r>
    </w:p>
    <w:p w:rsidR="009733F2" w:rsidRDefault="009733F2" w:rsidP="009733F2">
      <w:pPr>
        <w:pStyle w:val="NormalWeb"/>
        <w:spacing w:before="0" w:beforeAutospacing="0" w:after="0" w:afterAutospacing="0" w:line="276" w:lineRule="auto"/>
        <w:rPr>
          <w:rFonts w:ascii="Verdana" w:hAnsi="Verdana"/>
          <w:color w:val="000000"/>
          <w:sz w:val="10"/>
          <w:szCs w:val="10"/>
        </w:rPr>
      </w:pPr>
    </w:p>
    <w:p w:rsidR="009A58BA" w:rsidRPr="009733F2" w:rsidRDefault="009A58BA" w:rsidP="009A58BA">
      <w:pPr>
        <w:autoSpaceDE w:val="0"/>
        <w:autoSpaceDN w:val="0"/>
        <w:adjustRightInd w:val="0"/>
        <w:ind w:left="0"/>
        <w:rPr>
          <w:rFonts w:ascii="Arial" w:hAnsi="Arial" w:cs="Arial"/>
          <w:b/>
          <w:color w:val="221F1F"/>
        </w:rPr>
      </w:pPr>
      <w:r w:rsidRPr="009733F2">
        <w:rPr>
          <w:rFonts w:ascii="Arial" w:hAnsi="Arial" w:cs="Arial"/>
          <w:b/>
          <w:color w:val="221F1F"/>
        </w:rPr>
        <w:t>For more information</w:t>
      </w:r>
      <w:r w:rsidR="009733F2">
        <w:rPr>
          <w:rFonts w:ascii="Arial" w:hAnsi="Arial" w:cs="Arial"/>
          <w:b/>
          <w:color w:val="221F1F"/>
        </w:rPr>
        <w:t xml:space="preserve"> contact</w:t>
      </w:r>
      <w:r w:rsidRPr="009733F2">
        <w:rPr>
          <w:rFonts w:ascii="Arial" w:hAnsi="Arial" w:cs="Arial"/>
          <w:b/>
          <w:color w:val="221F1F"/>
        </w:rPr>
        <w:t xml:space="preserve">: </w:t>
      </w:r>
    </w:p>
    <w:p w:rsidR="009733F2" w:rsidRDefault="009733F2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>
        <w:rPr>
          <w:rFonts w:ascii="Arial" w:hAnsi="Arial" w:cs="Arial"/>
          <w:color w:val="221F1F"/>
        </w:rPr>
        <w:t>Trudi van Wyk</w:t>
      </w:r>
    </w:p>
    <w:p w:rsidR="009733F2" w:rsidRDefault="009733F2" w:rsidP="009733F2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Education Specialist</w:t>
      </w:r>
      <w:r>
        <w:rPr>
          <w:rFonts w:ascii="Arial" w:hAnsi="Arial" w:cs="Arial"/>
          <w:color w:val="221F1F"/>
        </w:rPr>
        <w:t xml:space="preserve">: </w:t>
      </w:r>
      <w:r w:rsidRPr="009733F2">
        <w:rPr>
          <w:rFonts w:ascii="Arial" w:hAnsi="Arial" w:cs="Arial"/>
          <w:color w:val="221F1F"/>
        </w:rPr>
        <w:t>eLearning</w:t>
      </w:r>
    </w:p>
    <w:p w:rsidR="009A58BA" w:rsidRPr="009733F2" w:rsidRDefault="009A58BA" w:rsidP="009733F2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Commonwealth of Learning</w:t>
      </w:r>
    </w:p>
    <w:p w:rsidR="009A58BA" w:rsidRPr="009733F2" w:rsidRDefault="009A58BA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1055 West Hastings Street, Suite 1200</w:t>
      </w:r>
    </w:p>
    <w:p w:rsidR="009A58BA" w:rsidRPr="009733F2" w:rsidRDefault="009A58BA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Vancouver, BC V6E 2E9 Canada</w:t>
      </w:r>
    </w:p>
    <w:p w:rsidR="009A58BA" w:rsidRPr="009733F2" w:rsidRDefault="009A58BA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Tel: +1 604 775 82</w:t>
      </w:r>
      <w:r w:rsidR="009733F2">
        <w:rPr>
          <w:rFonts w:ascii="Arial" w:hAnsi="Arial" w:cs="Arial"/>
          <w:color w:val="221F1F"/>
        </w:rPr>
        <w:t>61</w:t>
      </w:r>
    </w:p>
    <w:p w:rsidR="009A58BA" w:rsidRPr="009733F2" w:rsidRDefault="009A58BA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>Fax: +1 604 775 8210</w:t>
      </w:r>
    </w:p>
    <w:p w:rsidR="009733F2" w:rsidRDefault="009733F2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proofErr w:type="gramStart"/>
      <w:r>
        <w:rPr>
          <w:rFonts w:ascii="Arial" w:hAnsi="Arial" w:cs="Arial"/>
          <w:color w:val="221F1F"/>
        </w:rPr>
        <w:t>e-mail</w:t>
      </w:r>
      <w:proofErr w:type="gramEnd"/>
      <w:r>
        <w:rPr>
          <w:rFonts w:ascii="Arial" w:hAnsi="Arial" w:cs="Arial"/>
          <w:color w:val="221F1F"/>
        </w:rPr>
        <w:t xml:space="preserve">: </w:t>
      </w:r>
      <w:r w:rsidRPr="009733F2">
        <w:rPr>
          <w:rFonts w:ascii="Arial" w:hAnsi="Arial" w:cs="Arial"/>
          <w:color w:val="221F1F"/>
        </w:rPr>
        <w:t>tvanwyk@col.org</w:t>
      </w:r>
    </w:p>
    <w:p w:rsidR="00221EA9" w:rsidRPr="009733F2" w:rsidRDefault="009A58BA" w:rsidP="009A58BA">
      <w:pPr>
        <w:autoSpaceDE w:val="0"/>
        <w:autoSpaceDN w:val="0"/>
        <w:adjustRightInd w:val="0"/>
        <w:ind w:left="0" w:firstLine="720"/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t xml:space="preserve">Web: </w:t>
      </w:r>
      <w:hyperlink r:id="rId4" w:history="1">
        <w:r w:rsidR="00221EA9" w:rsidRPr="009733F2">
          <w:rPr>
            <w:rFonts w:ascii="Arial" w:hAnsi="Arial" w:cs="Arial"/>
            <w:color w:val="221F1F"/>
          </w:rPr>
          <w:t>www.col.org</w:t>
        </w:r>
      </w:hyperlink>
      <w:r w:rsidR="009733F2">
        <w:rPr>
          <w:rFonts w:ascii="Arial" w:hAnsi="Arial" w:cs="Arial"/>
          <w:color w:val="221F1F"/>
        </w:rPr>
        <w:t>/ccnc</w:t>
      </w:r>
    </w:p>
    <w:p w:rsidR="00221EA9" w:rsidRPr="009733F2" w:rsidRDefault="00221EA9">
      <w:pPr>
        <w:rPr>
          <w:rFonts w:ascii="Arial" w:hAnsi="Arial" w:cs="Arial"/>
          <w:color w:val="221F1F"/>
        </w:rPr>
      </w:pPr>
      <w:r w:rsidRPr="009733F2">
        <w:rPr>
          <w:rFonts w:ascii="Arial" w:hAnsi="Arial" w:cs="Arial"/>
          <w:color w:val="221F1F"/>
        </w:rPr>
        <w:br w:type="page"/>
      </w:r>
    </w:p>
    <w:p w:rsidR="00221EA9" w:rsidRPr="009733F2" w:rsidRDefault="00221EA9" w:rsidP="009733F2">
      <w:pPr>
        <w:pStyle w:val="Default"/>
        <w:spacing w:line="276" w:lineRule="auto"/>
        <w:rPr>
          <w:b/>
          <w:color w:val="221F1F"/>
          <w:sz w:val="22"/>
          <w:szCs w:val="22"/>
        </w:rPr>
      </w:pPr>
      <w:r w:rsidRPr="009733F2">
        <w:rPr>
          <w:b/>
          <w:color w:val="221F1F"/>
          <w:sz w:val="22"/>
          <w:szCs w:val="22"/>
        </w:rPr>
        <w:lastRenderedPageBreak/>
        <w:t>The Use of Icons in the Materials</w:t>
      </w:r>
    </w:p>
    <w:p w:rsidR="00633FF3" w:rsidRDefault="00633FF3" w:rsidP="00633FF3">
      <w:pPr>
        <w:pStyle w:val="Default"/>
        <w:spacing w:line="276" w:lineRule="auto"/>
        <w:rPr>
          <w:color w:val="221F1F"/>
          <w:sz w:val="22"/>
          <w:szCs w:val="22"/>
        </w:rPr>
      </w:pPr>
    </w:p>
    <w:p w:rsidR="00221EA9" w:rsidRPr="00633FF3" w:rsidRDefault="00221EA9" w:rsidP="00633FF3">
      <w:pPr>
        <w:pStyle w:val="Default"/>
        <w:spacing w:line="276" w:lineRule="auto"/>
        <w:rPr>
          <w:color w:val="221F1F"/>
          <w:sz w:val="22"/>
          <w:szCs w:val="22"/>
        </w:rPr>
      </w:pPr>
      <w:r w:rsidRPr="00633FF3">
        <w:rPr>
          <w:color w:val="221F1F"/>
          <w:sz w:val="22"/>
          <w:szCs w:val="22"/>
        </w:rPr>
        <w:t>While working through these modules you will notice the frequent use of margin icons</w:t>
      </w:r>
      <w:r w:rsidR="008A3DCD">
        <w:rPr>
          <w:color w:val="221F1F"/>
          <w:sz w:val="22"/>
          <w:szCs w:val="22"/>
        </w:rPr>
        <w:t xml:space="preserve">.  </w:t>
      </w:r>
      <w:r w:rsidRPr="00633FF3">
        <w:rPr>
          <w:color w:val="221F1F"/>
          <w:sz w:val="22"/>
          <w:szCs w:val="22"/>
        </w:rPr>
        <w:t>These icons serve to “signpost” a particular piece of text, a</w:t>
      </w:r>
      <w:r w:rsidR="009733F2" w:rsidRPr="00633FF3">
        <w:rPr>
          <w:color w:val="221F1F"/>
          <w:sz w:val="22"/>
          <w:szCs w:val="22"/>
        </w:rPr>
        <w:t xml:space="preserve"> new task or change in activity -</w:t>
      </w:r>
      <w:r w:rsidRPr="00633FF3">
        <w:rPr>
          <w:color w:val="221F1F"/>
          <w:sz w:val="22"/>
          <w:szCs w:val="22"/>
        </w:rPr>
        <w:t xml:space="preserve"> they have been included to help you to find your way around these materials.</w:t>
      </w:r>
    </w:p>
    <w:p w:rsidR="00633FF3" w:rsidRDefault="00633FF3" w:rsidP="00633FF3">
      <w:pPr>
        <w:pStyle w:val="Default"/>
        <w:spacing w:line="276" w:lineRule="auto"/>
        <w:rPr>
          <w:color w:val="221F1F"/>
          <w:sz w:val="22"/>
          <w:szCs w:val="22"/>
        </w:rPr>
      </w:pPr>
    </w:p>
    <w:p w:rsidR="00221EA9" w:rsidRPr="00633FF3" w:rsidRDefault="00221EA9" w:rsidP="00633FF3">
      <w:pPr>
        <w:pStyle w:val="Default"/>
        <w:spacing w:line="276" w:lineRule="auto"/>
        <w:rPr>
          <w:color w:val="221F1F"/>
          <w:sz w:val="22"/>
          <w:szCs w:val="22"/>
        </w:rPr>
      </w:pPr>
      <w:r w:rsidRPr="00633FF3">
        <w:rPr>
          <w:color w:val="221F1F"/>
          <w:sz w:val="22"/>
          <w:szCs w:val="22"/>
        </w:rPr>
        <w:t>A complete icon set is shown below</w:t>
      </w:r>
      <w:r w:rsidR="009733F2" w:rsidRPr="00633FF3">
        <w:rPr>
          <w:color w:val="221F1F"/>
          <w:sz w:val="22"/>
          <w:szCs w:val="22"/>
        </w:rPr>
        <w:t>. We suggest that you familiaris</w:t>
      </w:r>
      <w:r w:rsidRPr="00633FF3">
        <w:rPr>
          <w:color w:val="221F1F"/>
          <w:sz w:val="22"/>
          <w:szCs w:val="22"/>
        </w:rPr>
        <w:t>e yourself with the icons and their meaning before starting your study.</w:t>
      </w:r>
    </w:p>
    <w:tbl>
      <w:tblPr>
        <w:tblpPr w:leftFromText="180" w:rightFromText="180" w:vertAnchor="text" w:horzAnchor="margin" w:tblpXSpec="center" w:tblpY="265"/>
        <w:tblW w:w="0" w:type="auto"/>
        <w:tblLayout w:type="fixed"/>
        <w:tblLook w:val="01E0"/>
      </w:tblPr>
      <w:tblGrid>
        <w:gridCol w:w="1684"/>
        <w:gridCol w:w="1684"/>
        <w:gridCol w:w="1684"/>
        <w:gridCol w:w="1685"/>
      </w:tblGrid>
      <w:tr w:rsidR="00221EA9" w:rsidRPr="005F69AB" w:rsidTr="008A3DCD">
        <w:trPr>
          <w:cantSplit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221EA9" w:rsidRPr="005F69AB" w:rsidRDefault="00221EA9" w:rsidP="008C3197">
            <w:pPr>
              <w:pStyle w:val="Quote"/>
              <w:jc w:val="center"/>
              <w:rPr>
                <w:rStyle w:val="CustomItalics"/>
                <w:i/>
              </w:rPr>
            </w:pPr>
            <w:r w:rsidRPr="00A11B7D">
              <w:rPr>
                <w:noProof/>
                <w:lang w:val="en-CA" w:eastAsia="en-CA"/>
              </w:rPr>
              <w:drawing>
                <wp:inline distT="0" distB="0" distL="0" distR="0">
                  <wp:extent cx="532397" cy="514350"/>
                  <wp:effectExtent l="19050" t="0" r="1003" b="0"/>
                  <wp:docPr id="113" name="Picture 15" descr="Outco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utco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397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  <w:rPr>
                <w:rStyle w:val="CustomItalics"/>
                <w:i/>
              </w:rPr>
            </w:pPr>
            <w:r w:rsidRPr="00A11B7D">
              <w:rPr>
                <w:rStyle w:val="CustomItalics"/>
                <w:i/>
                <w:noProof/>
                <w:lang w:val="en-CA" w:eastAsia="en-CA"/>
              </w:rPr>
              <w:drawing>
                <wp:inline distT="0" distB="0" distL="0" distR="0">
                  <wp:extent cx="495300" cy="485775"/>
                  <wp:effectExtent l="19050" t="0" r="0" b="0"/>
                  <wp:docPr id="1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  <w:rPr>
                <w:rStyle w:val="CustomItalics"/>
                <w:i/>
              </w:rPr>
            </w:pPr>
            <w:r w:rsidRPr="00A11B7D">
              <w:rPr>
                <w:rStyle w:val="CustomItalics"/>
                <w:i/>
                <w:noProof/>
                <w:lang w:val="en-CA" w:eastAsia="en-CA"/>
              </w:rPr>
              <w:drawing>
                <wp:inline distT="0" distB="0" distL="0" distR="0">
                  <wp:extent cx="666034" cy="407926"/>
                  <wp:effectExtent l="19050" t="0" r="716" b="0"/>
                  <wp:docPr id="115" name="Picture 19" descr="sum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um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6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34" cy="407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  <w:rPr>
                <w:rStyle w:val="CustomItalics"/>
                <w:i/>
              </w:rPr>
            </w:pPr>
            <w:r w:rsidRPr="00A11B7D">
              <w:rPr>
                <w:rStyle w:val="CustomItalics"/>
                <w:i/>
                <w:noProof/>
                <w:lang w:val="en-CA" w:eastAsia="en-CA"/>
              </w:rPr>
              <w:drawing>
                <wp:inline distT="0" distB="0" distL="0" distR="0">
                  <wp:extent cx="477832" cy="514134"/>
                  <wp:effectExtent l="19050" t="0" r="0" b="0"/>
                  <wp:docPr id="116" name="Picture 18" descr="Study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udy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4908" b="3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32" cy="514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A9" w:rsidRPr="005F69AB" w:rsidTr="008A3DCD">
        <w:trPr>
          <w:cantSplit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21EA9" w:rsidRPr="00BA043C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Outcomes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Knowledge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Summary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Study Tips/Skills</w:t>
            </w:r>
          </w:p>
        </w:tc>
      </w:tr>
      <w:tr w:rsidR="00221EA9" w:rsidRPr="005F69AB" w:rsidTr="008A3DCD">
        <w:trPr>
          <w:cantSplit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221EA9" w:rsidRPr="005F69AB" w:rsidRDefault="00221EA9" w:rsidP="008C3197">
            <w:pPr>
              <w:pStyle w:val="Quote"/>
              <w:jc w:val="center"/>
            </w:pPr>
            <w:r w:rsidRPr="00A11B7D">
              <w:rPr>
                <w:noProof/>
                <w:lang w:val="en-CA" w:eastAsia="en-CA"/>
              </w:rPr>
              <w:drawing>
                <wp:inline distT="0" distB="0" distL="0" distR="0">
                  <wp:extent cx="666034" cy="484431"/>
                  <wp:effectExtent l="19050" t="0" r="716" b="0"/>
                  <wp:docPr id="11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5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34" cy="484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  <w:rPr>
                <w:rStyle w:val="CustomItalics"/>
                <w:i/>
              </w:rPr>
            </w:pPr>
            <w:r w:rsidRPr="00A11B7D">
              <w:rPr>
                <w:rStyle w:val="CustomItalics"/>
                <w:i/>
                <w:noProof/>
                <w:lang w:val="en-CA" w:eastAsia="en-CA"/>
              </w:rPr>
              <w:drawing>
                <wp:inline distT="0" distB="0" distL="0" distR="0">
                  <wp:extent cx="495300" cy="486128"/>
                  <wp:effectExtent l="19050" t="0" r="0" b="0"/>
                  <wp:docPr id="1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6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</w:pPr>
            <w:r w:rsidRPr="00A11B7D">
              <w:rPr>
                <w:noProof/>
                <w:lang w:val="en-CA" w:eastAsia="en-CA"/>
              </w:rPr>
              <w:drawing>
                <wp:inline distT="0" distB="0" distL="0" distR="0">
                  <wp:extent cx="771525" cy="580390"/>
                  <wp:effectExtent l="19050" t="0" r="9525" b="0"/>
                  <wp:docPr id="123" name="Picture 1" descr="L:\COL\images\coputerbasedlear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COL\images\coputerbasedlear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5F69AB" w:rsidRDefault="00221EA9" w:rsidP="008C3197">
            <w:pPr>
              <w:pStyle w:val="Quote"/>
              <w:jc w:val="center"/>
            </w:pPr>
            <w:r w:rsidRPr="00A11B7D">
              <w:rPr>
                <w:noProof/>
                <w:lang w:val="en-CA" w:eastAsia="en-CA"/>
              </w:rPr>
              <w:drawing>
                <wp:inline distT="0" distB="0" distL="0" distR="0">
                  <wp:extent cx="590550" cy="409575"/>
                  <wp:effectExtent l="19050" t="0" r="0" b="0"/>
                  <wp:docPr id="1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A9" w:rsidRPr="005F69AB" w:rsidTr="008A3DCD">
        <w:trPr>
          <w:cantSplit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Tip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Note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293235" w:rsidRDefault="00221EA9" w:rsidP="008C3197">
            <w:pPr>
              <w:pStyle w:val="BodyText"/>
              <w:spacing w:before="120"/>
              <w:jc w:val="center"/>
              <w:rPr>
                <w:rStyle w:val="CustomBold"/>
              </w:rPr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Practice on the computer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21EA9" w:rsidRPr="009903EF" w:rsidRDefault="00221EA9" w:rsidP="008C3197">
            <w:pPr>
              <w:pStyle w:val="BodyText"/>
              <w:spacing w:before="120"/>
              <w:jc w:val="center"/>
            </w:pPr>
            <w:r>
              <w:rPr>
                <w:rStyle w:val="CustomBold"/>
                <w:rFonts w:eastAsia="Times New Roman" w:cs="Times New Roman"/>
                <w:color w:val="000080"/>
                <w:lang w:val="en-GB"/>
              </w:rPr>
              <w:t>Self Assessment</w:t>
            </w:r>
          </w:p>
        </w:tc>
      </w:tr>
    </w:tbl>
    <w:p w:rsidR="009A58BA" w:rsidRPr="009A58BA" w:rsidRDefault="009A58BA" w:rsidP="008A3DCD">
      <w:pPr>
        <w:autoSpaceDE w:val="0"/>
        <w:autoSpaceDN w:val="0"/>
        <w:adjustRightInd w:val="0"/>
        <w:ind w:left="0"/>
        <w:rPr>
          <w:rFonts w:ascii="ZurichBT-LightCondensed" w:hAnsi="ZurichBT-LightCondensed" w:cs="ZurichBT-LightCondensed"/>
          <w:color w:val="231F20"/>
          <w:sz w:val="24"/>
          <w:szCs w:val="24"/>
        </w:rPr>
      </w:pPr>
    </w:p>
    <w:sectPr w:rsidR="009A58BA" w:rsidRPr="009A58BA" w:rsidSect="009A58B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urichBT-Light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184"/>
    <w:rsid w:val="00140184"/>
    <w:rsid w:val="00221EA9"/>
    <w:rsid w:val="003D595C"/>
    <w:rsid w:val="0053726E"/>
    <w:rsid w:val="00547499"/>
    <w:rsid w:val="00633FF3"/>
    <w:rsid w:val="006F71C9"/>
    <w:rsid w:val="008A3DCD"/>
    <w:rsid w:val="008C021E"/>
    <w:rsid w:val="009733F2"/>
    <w:rsid w:val="009A58BA"/>
    <w:rsid w:val="00CB5460"/>
    <w:rsid w:val="00FE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8B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21EA9"/>
    <w:pPr>
      <w:spacing w:before="240" w:after="120"/>
      <w:ind w:left="0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221EA9"/>
    <w:rPr>
      <w:rFonts w:ascii="Times New Roman" w:eastAsiaTheme="minorEastAsia" w:hAnsi="Times New Roman"/>
      <w:lang w:val="en-US"/>
    </w:rPr>
  </w:style>
  <w:style w:type="character" w:customStyle="1" w:styleId="CustomItalics">
    <w:name w:val="Custom Italics"/>
    <w:basedOn w:val="DefaultParagraphFont"/>
    <w:qFormat/>
    <w:rsid w:val="00221EA9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221EA9"/>
    <w:rPr>
      <w:rFonts w:ascii="Arial Narrow" w:hAnsi="Arial Narrow"/>
      <w:b/>
      <w:spacing w:val="6"/>
      <w:sz w:val="21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21EA9"/>
    <w:pPr>
      <w:spacing w:before="120" w:after="120"/>
      <w:ind w:left="0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21EA9"/>
    <w:rPr>
      <w:rFonts w:ascii="Times New Roman" w:eastAsiaTheme="minorEastAsia" w:hAnsi="Times New Roman"/>
      <w:i/>
      <w:iCs/>
      <w:color w:val="000000" w:themeColor="tex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33F2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33F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://www.col.org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 Wealth Of Learning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tvanwyk</dc:creator>
  <cp:keywords/>
  <dc:description/>
  <cp:lastModifiedBy>tvanwyk</cp:lastModifiedBy>
  <cp:revision>3</cp:revision>
  <cp:lastPrinted>2009-11-16T19:34:00Z</cp:lastPrinted>
  <dcterms:created xsi:type="dcterms:W3CDTF">2009-11-16T19:38:00Z</dcterms:created>
  <dcterms:modified xsi:type="dcterms:W3CDTF">2009-11-16T19:51:00Z</dcterms:modified>
</cp:coreProperties>
</file>